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5B60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附件1.报价文件目录</w:t>
      </w:r>
    </w:p>
    <w:p w14:paraId="38A7C8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报价单</w:t>
      </w:r>
      <w:r>
        <w:rPr>
          <w:rFonts w:hint="eastAsia" w:ascii="仿宋" w:hAnsi="仿宋" w:cs="仿宋"/>
          <w:sz w:val="21"/>
          <w:szCs w:val="21"/>
          <w:lang w:val="en-US" w:eastAsia="zh-CN"/>
        </w:rPr>
        <w:t>（见附件2）</w:t>
      </w:r>
    </w:p>
    <w:p w14:paraId="0C55C78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资格证明文件（包括但不限于询价通知第三条要求事项的证明文件、附件3中综合实力、项目团队部分要求的证明文件）</w:t>
      </w:r>
    </w:p>
    <w:p w14:paraId="134EC4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业绩证明文件</w:t>
      </w:r>
    </w:p>
    <w:p w14:paraId="53C85EC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总体服务方案</w:t>
      </w:r>
    </w:p>
    <w:p w14:paraId="33160E49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83B22B2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5742C52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62BA411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E4DF8C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47FBF68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4DB7F7F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1413BE8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026AADA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12B7BEF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9B61717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D6BFA91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D593C6C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B4A55AF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886E52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6C796D2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39EA14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3245C26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9E4438B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F3C5C61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7726AF9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FD12A50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54A406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47065C3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1EC36A3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5DAD63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B57932E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1E77686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B3147A8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A3EF0AC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675F781">
      <w:pPr>
        <w:pStyle w:val="3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9C4DBE5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8D4BDA8"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11FDD19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895D96B">
      <w:pPr>
        <w:spacing w:line="240" w:lineRule="auto"/>
        <w:ind w:firstLine="42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附件2.报价单（择一）</w:t>
      </w:r>
    </w:p>
    <w:tbl>
      <w:tblPr>
        <w:tblStyle w:val="7"/>
        <w:tblpPr w:leftFromText="180" w:rightFromText="180" w:vertAnchor="text" w:horzAnchor="page" w:tblpX="864" w:tblpY="4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20"/>
        <w:gridCol w:w="1961"/>
        <w:gridCol w:w="658"/>
        <w:gridCol w:w="3542"/>
      </w:tblGrid>
      <w:tr w14:paraId="029C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F9FCF5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标项</w:t>
            </w:r>
          </w:p>
        </w:tc>
        <w:tc>
          <w:tcPr>
            <w:tcW w:w="3520" w:type="dxa"/>
            <w:vAlign w:val="center"/>
          </w:tcPr>
          <w:p w14:paraId="0F3FFED5">
            <w:pPr>
              <w:spacing w:line="240" w:lineRule="auto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使用主体</w:t>
            </w:r>
          </w:p>
        </w:tc>
        <w:tc>
          <w:tcPr>
            <w:tcW w:w="1961" w:type="dxa"/>
            <w:vAlign w:val="center"/>
          </w:tcPr>
          <w:p w14:paraId="7469238D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" w:type="dxa"/>
            <w:vAlign w:val="center"/>
          </w:tcPr>
          <w:p w14:paraId="354A71B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3542" w:type="dxa"/>
            <w:vAlign w:val="center"/>
          </w:tcPr>
          <w:p w14:paraId="3124495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报价方案</w:t>
            </w:r>
          </w:p>
        </w:tc>
      </w:tr>
      <w:tr w14:paraId="5CEF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1824391B"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标项一</w:t>
            </w:r>
          </w:p>
        </w:tc>
        <w:tc>
          <w:tcPr>
            <w:tcW w:w="3520" w:type="dxa"/>
            <w:vAlign w:val="center"/>
          </w:tcPr>
          <w:p w14:paraId="0F1059E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浙江大学科技园发展有限公司</w:t>
            </w:r>
          </w:p>
        </w:tc>
        <w:tc>
          <w:tcPr>
            <w:tcW w:w="1961" w:type="dxa"/>
            <w:vAlign w:val="center"/>
          </w:tcPr>
          <w:p w14:paraId="5C567E5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2026年9月1日-2027年3月31日</w:t>
            </w:r>
          </w:p>
        </w:tc>
        <w:tc>
          <w:tcPr>
            <w:tcW w:w="658" w:type="dxa"/>
            <w:vMerge w:val="restart"/>
            <w:vAlign w:val="center"/>
          </w:tcPr>
          <w:p w14:paraId="1A08AD88"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【】万元</w:t>
            </w:r>
          </w:p>
        </w:tc>
        <w:tc>
          <w:tcPr>
            <w:tcW w:w="3542" w:type="dxa"/>
            <w:vAlign w:val="center"/>
          </w:tcPr>
          <w:p w14:paraId="6461C8C0"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【】</w:t>
            </w:r>
            <w:r>
              <w:rPr>
                <w:rFonts w:hint="eastAsia" w:ascii="仿宋" w:hAnsi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万元</w:t>
            </w:r>
          </w:p>
        </w:tc>
      </w:tr>
      <w:tr w14:paraId="0A5C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E6FB632">
            <w:pPr>
              <w:spacing w:line="240" w:lineRule="auto"/>
              <w:jc w:val="center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520" w:type="dxa"/>
            <w:vAlign w:val="center"/>
          </w:tcPr>
          <w:p w14:paraId="171984D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浙江鹃湖启真孵化器发展有限公司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嘉善启真未来创新发展有限公司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湖州启真创新创业服务有限公司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杭州启真未来科技发展有限公司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浙江大学科技园发展有限公司浙江分公司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杭州启真创新创业服务有限公司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常山启真未来科技发展有限公司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温州启真国科科技服务有限公司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新昌天姥启真科技合伙企业(有限合伙)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杭州浙邯科创发展有限公司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浙江浙大西投脑机智能科技有限公司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以上共计11家</w:t>
            </w:r>
            <w:r>
              <w:rPr>
                <w:rFonts w:hint="eastAsia" w:ascii="仿宋" w:hAnsi="仿宋"/>
                <w:b/>
                <w:bCs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>存量主体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)</w:t>
            </w:r>
          </w:p>
          <w:p w14:paraId="12AF2B40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1FD97B3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合同期内新设立或者已存续新启动的项目（包括科技园全层级的全资、控股、参股公司及合伙企业，形式不限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/>
                <w:b/>
                <w:bCs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>增量主体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）</w:t>
            </w:r>
          </w:p>
        </w:tc>
        <w:tc>
          <w:tcPr>
            <w:tcW w:w="1961" w:type="dxa"/>
            <w:vAlign w:val="center"/>
          </w:tcPr>
          <w:p w14:paraId="7F938D8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2026年4月1日-2027年3月31日</w:t>
            </w:r>
          </w:p>
        </w:tc>
        <w:tc>
          <w:tcPr>
            <w:tcW w:w="658" w:type="dxa"/>
            <w:vMerge w:val="continue"/>
            <w:vAlign w:val="center"/>
          </w:tcPr>
          <w:p w14:paraId="0FEA99FA">
            <w:pPr>
              <w:spacing w:line="240" w:lineRule="auto"/>
              <w:jc w:val="left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542" w:type="dxa"/>
            <w:vAlign w:val="center"/>
          </w:tcPr>
          <w:p w14:paraId="72837033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金额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【】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万元，采购审核、咨询的服务次数300次/年已存续且启动运营的主体均分。</w:t>
            </w:r>
            <w:r>
              <w:rPr>
                <w:rFonts w:hint="eastAsia" w:ascii="仿宋" w:hAnsi="仿宋"/>
                <w:b/>
                <w:bCs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>--存量</w:t>
            </w:r>
          </w:p>
          <w:p w14:paraId="6D178D8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  <w:p w14:paraId="1FAE904A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合同期内，每新增设立或启动运营一家主体，增加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【】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元/年常年法律顾问费，由新增的主体承担，对应该合同年度及后续合同年度总包服务次数增加20次（仍共享），减少主体同理。超出总包服务次数的，按照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【】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元/次在合同年度结束后据实结算，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u w:val="none"/>
                <w:vertAlign w:val="baseline"/>
              </w:rPr>
              <w:t>浙大科技园指定某主体承担</w:t>
            </w:r>
            <w:r>
              <w:rPr>
                <w:rFonts w:hint="eastAsia" w:ascii="仿宋" w:hAnsi="仿宋"/>
                <w:b/>
                <w:bCs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>--增量</w:t>
            </w:r>
          </w:p>
          <w:p w14:paraId="246716C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  <w:p w14:paraId="01CD5E5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新增设立或启动主体的当年，按照当前合同年度剩余服务月数/12得出的比例，结算当年度新增的常年法律顾问费，同比例增加当前年度服务次数，减少主体同理。</w:t>
            </w:r>
          </w:p>
          <w:p w14:paraId="7C27BA87">
            <w:pPr>
              <w:spacing w:line="240" w:lineRule="auto"/>
              <w:jc w:val="center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  <w:p w14:paraId="5430A97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每个合同年度内11份免费律师函额度（新增一家主体，对应增加1份免费律师函额度）</w:t>
            </w:r>
          </w:p>
          <w:p w14:paraId="5C01331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</w:tr>
    </w:tbl>
    <w:p w14:paraId="056A230A">
      <w:pPr>
        <w:pStyle w:val="2"/>
        <w:rPr>
          <w:rFonts w:hint="default"/>
          <w:lang w:val="en-US" w:eastAsia="zh-CN"/>
        </w:rPr>
      </w:pPr>
    </w:p>
    <w:p w14:paraId="3090DF8D">
      <w:pPr>
        <w:spacing w:line="240" w:lineRule="auto"/>
        <w:ind w:left="0" w:leftChars="0" w:firstLine="0" w:firstLine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="864" w:tblpY="4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20"/>
        <w:gridCol w:w="1961"/>
        <w:gridCol w:w="658"/>
        <w:gridCol w:w="3542"/>
      </w:tblGrid>
      <w:tr w14:paraId="2BC3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90EDD7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标项</w:t>
            </w:r>
          </w:p>
        </w:tc>
        <w:tc>
          <w:tcPr>
            <w:tcW w:w="3520" w:type="dxa"/>
            <w:vAlign w:val="center"/>
          </w:tcPr>
          <w:p w14:paraId="26475134">
            <w:pPr>
              <w:spacing w:line="240" w:lineRule="auto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使用主体</w:t>
            </w:r>
          </w:p>
        </w:tc>
        <w:tc>
          <w:tcPr>
            <w:tcW w:w="1961" w:type="dxa"/>
            <w:vAlign w:val="center"/>
          </w:tcPr>
          <w:p w14:paraId="4E0B5EE1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" w:type="dxa"/>
            <w:vAlign w:val="center"/>
          </w:tcPr>
          <w:p w14:paraId="4B3C6C2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3542" w:type="dxa"/>
            <w:vAlign w:val="center"/>
          </w:tcPr>
          <w:p w14:paraId="37ECFBD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报价方案</w:t>
            </w:r>
          </w:p>
        </w:tc>
      </w:tr>
      <w:tr w14:paraId="08DE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09CE6D4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标项二</w:t>
            </w:r>
          </w:p>
        </w:tc>
        <w:tc>
          <w:tcPr>
            <w:tcW w:w="3520" w:type="dxa"/>
            <w:vAlign w:val="center"/>
          </w:tcPr>
          <w:p w14:paraId="6880B86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杭州四真科技服务有限公司</w:t>
            </w:r>
          </w:p>
        </w:tc>
        <w:tc>
          <w:tcPr>
            <w:tcW w:w="1961" w:type="dxa"/>
            <w:vAlign w:val="center"/>
          </w:tcPr>
          <w:p w14:paraId="6BEEDC82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2026年9月1日-2027年3月31日</w:t>
            </w:r>
          </w:p>
        </w:tc>
        <w:tc>
          <w:tcPr>
            <w:tcW w:w="658" w:type="dxa"/>
            <w:vMerge w:val="restart"/>
            <w:vAlign w:val="center"/>
          </w:tcPr>
          <w:p w14:paraId="224BFD0F"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【】万元</w:t>
            </w:r>
          </w:p>
        </w:tc>
        <w:tc>
          <w:tcPr>
            <w:tcW w:w="3542" w:type="dxa"/>
            <w:vMerge w:val="restart"/>
            <w:vAlign w:val="top"/>
          </w:tcPr>
          <w:p w14:paraId="57D66166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固定总价。</w:t>
            </w:r>
            <w:r>
              <w:rPr>
                <w:rFonts w:hint="eastAsia" w:ascii="仿宋" w:hAnsi="仿宋"/>
                <w:sz w:val="21"/>
                <w:szCs w:val="21"/>
                <w:u w:val="single"/>
                <w:vertAlign w:val="baseline"/>
                <w:lang w:val="en-US" w:eastAsia="zh-CN"/>
              </w:rPr>
              <w:t>支持重要事项现场支持，</w:t>
            </w:r>
          </w:p>
          <w:p w14:paraId="622B0BD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val="en-US" w:eastAsia="zh-CN"/>
              </w:rPr>
              <w:t>服务范围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包含出具律师函</w:t>
            </w:r>
          </w:p>
          <w:p w14:paraId="072D32E1">
            <w:pPr>
              <w:spacing w:line="240" w:lineRule="auto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  <w:p w14:paraId="3915D8A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如服务年度主体减少，则按合同金额及服务期限结算减少主体的服务费</w:t>
            </w:r>
          </w:p>
        </w:tc>
      </w:tr>
      <w:tr w14:paraId="305A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8F369CD">
            <w:pPr>
              <w:spacing w:line="240" w:lineRule="auto"/>
              <w:jc w:val="center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520" w:type="dxa"/>
            <w:vAlign w:val="center"/>
          </w:tcPr>
          <w:p w14:paraId="4785C27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宁波成章科技发展有限公司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浙大科技园宁波发展有限公司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杭州启真萧龙科创有限公司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浙江知识产权交易中心有限公司</w:t>
            </w:r>
          </w:p>
        </w:tc>
        <w:tc>
          <w:tcPr>
            <w:tcW w:w="1961" w:type="dxa"/>
            <w:vAlign w:val="center"/>
          </w:tcPr>
          <w:p w14:paraId="4902201B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  <w:t>2026年4月1日-2027年3月31日</w:t>
            </w:r>
          </w:p>
        </w:tc>
        <w:tc>
          <w:tcPr>
            <w:tcW w:w="658" w:type="dxa"/>
            <w:vMerge w:val="continue"/>
            <w:vAlign w:val="center"/>
          </w:tcPr>
          <w:p w14:paraId="317A118D">
            <w:pPr>
              <w:spacing w:line="240" w:lineRule="auto"/>
              <w:jc w:val="center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542" w:type="dxa"/>
            <w:vMerge w:val="continue"/>
            <w:vAlign w:val="center"/>
          </w:tcPr>
          <w:p w14:paraId="63ECC8DB">
            <w:pPr>
              <w:spacing w:line="240" w:lineRule="auto"/>
              <w:jc w:val="center"/>
              <w:rPr>
                <w:rFonts w:hint="eastAsia" w:ascii="仿宋" w:hAnsi="仿宋"/>
                <w:sz w:val="21"/>
                <w:szCs w:val="21"/>
                <w:u w:val="none"/>
                <w:vertAlign w:val="baseline"/>
              </w:rPr>
            </w:pPr>
          </w:p>
        </w:tc>
      </w:tr>
    </w:tbl>
    <w:p w14:paraId="214D5D6E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62F2E224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44C7BC78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650ED729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2A4D9C9D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160E2408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3746247A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086919D4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61999C82">
      <w:pPr>
        <w:spacing w:line="240" w:lineRule="auto"/>
        <w:ind w:firstLine="42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21"/>
          <w:szCs w:val="21"/>
          <w:lang w:val="en-US" w:eastAsia="zh-CN"/>
        </w:rPr>
        <w:t>附件3.评分标准</w:t>
      </w:r>
    </w:p>
    <w:bookmarkEnd w:id="0"/>
    <w:tbl>
      <w:tblPr>
        <w:tblStyle w:val="6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00"/>
        <w:gridCol w:w="7613"/>
      </w:tblGrid>
      <w:tr w14:paraId="4848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15" w:type="dxa"/>
            <w:noWrap w:val="0"/>
            <w:vAlign w:val="center"/>
          </w:tcPr>
          <w:p w14:paraId="002B6EFE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评审因素</w:t>
            </w:r>
          </w:p>
        </w:tc>
        <w:tc>
          <w:tcPr>
            <w:tcW w:w="800" w:type="dxa"/>
            <w:noWrap w:val="0"/>
            <w:vAlign w:val="center"/>
          </w:tcPr>
          <w:p w14:paraId="19201C9F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613" w:type="dxa"/>
            <w:noWrap w:val="0"/>
            <w:vAlign w:val="center"/>
          </w:tcPr>
          <w:p w14:paraId="1B503BCD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评分细则</w:t>
            </w:r>
          </w:p>
        </w:tc>
      </w:tr>
      <w:tr w14:paraId="2E52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15" w:type="dxa"/>
            <w:noWrap w:val="0"/>
            <w:vAlign w:val="center"/>
          </w:tcPr>
          <w:p w14:paraId="638EA6D2">
            <w:pPr>
              <w:spacing w:line="240" w:lineRule="auto"/>
              <w:ind w:firstLine="0" w:firstLineChars="0"/>
              <w:jc w:val="center"/>
              <w:rPr>
                <w:rFonts w:hint="eastAsia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价格</w:t>
            </w:r>
          </w:p>
        </w:tc>
        <w:tc>
          <w:tcPr>
            <w:tcW w:w="800" w:type="dxa"/>
            <w:noWrap w:val="0"/>
            <w:vAlign w:val="center"/>
          </w:tcPr>
          <w:p w14:paraId="2ED8F2AA">
            <w:pPr>
              <w:spacing w:line="240" w:lineRule="auto"/>
              <w:ind w:firstLine="0" w:firstLineChars="0"/>
              <w:jc w:val="center"/>
              <w:rPr>
                <w:rFonts w:hint="default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0-40</w:t>
            </w:r>
          </w:p>
        </w:tc>
        <w:tc>
          <w:tcPr>
            <w:tcW w:w="7613" w:type="dxa"/>
            <w:noWrap w:val="0"/>
            <w:vAlign w:val="center"/>
          </w:tcPr>
          <w:p w14:paraId="645C86A1">
            <w:pPr>
              <w:spacing w:line="240" w:lineRule="auto"/>
              <w:ind w:firstLine="0" w:firstLineChars="0"/>
              <w:jc w:val="both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</w:rPr>
              <w:t>价格分 =（基准价 / 供应商报价）× 40</w:t>
            </w:r>
          </w:p>
          <w:p w14:paraId="353178BB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基准价 = 所有有效供应商的“标项总报价”的算术平均值</w:t>
            </w:r>
          </w:p>
          <w:p w14:paraId="2D289C11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若供应商报价低于基准价，则价格分直接计为40分（满分）</w:t>
            </w:r>
          </w:p>
          <w:p w14:paraId="45886074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若供应商报价高于基准价，则按公式计算，结果四舍五入保留两位小数</w:t>
            </w:r>
          </w:p>
        </w:tc>
      </w:tr>
      <w:tr w14:paraId="3521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15" w:type="dxa"/>
            <w:noWrap w:val="0"/>
            <w:vAlign w:val="center"/>
          </w:tcPr>
          <w:p w14:paraId="3F6BA24B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综合实力</w:t>
            </w:r>
          </w:p>
        </w:tc>
        <w:tc>
          <w:tcPr>
            <w:tcW w:w="800" w:type="dxa"/>
            <w:noWrap w:val="0"/>
            <w:vAlign w:val="center"/>
          </w:tcPr>
          <w:p w14:paraId="0D514F83">
            <w:pPr>
              <w:spacing w:line="240" w:lineRule="auto"/>
              <w:ind w:firstLine="0" w:firstLineChars="0"/>
              <w:jc w:val="center"/>
              <w:rPr>
                <w:rFonts w:hint="eastAsia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0-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13" w:type="dxa"/>
            <w:noWrap w:val="0"/>
            <w:vAlign w:val="center"/>
          </w:tcPr>
          <w:p w14:paraId="402E528B">
            <w:pPr>
              <w:spacing w:line="240" w:lineRule="auto"/>
              <w:ind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单位实力、荣誉、服务资源等方面。优秀得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分，较好得2-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分，一般得0-1分。</w:t>
            </w:r>
          </w:p>
          <w:p w14:paraId="2F303A75">
            <w:pPr>
              <w:spacing w:line="240" w:lineRule="auto"/>
              <w:ind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（需提供相关证明材料并加盖公章，否则不得分。）</w:t>
            </w:r>
          </w:p>
        </w:tc>
      </w:tr>
      <w:tr w14:paraId="19AC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15" w:type="dxa"/>
            <w:noWrap w:val="0"/>
            <w:vAlign w:val="center"/>
          </w:tcPr>
          <w:p w14:paraId="5FB0A587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项目团队</w:t>
            </w:r>
          </w:p>
        </w:tc>
        <w:tc>
          <w:tcPr>
            <w:tcW w:w="800" w:type="dxa"/>
            <w:noWrap w:val="0"/>
            <w:vAlign w:val="center"/>
          </w:tcPr>
          <w:p w14:paraId="001D8A29">
            <w:pPr>
              <w:spacing w:line="240" w:lineRule="auto"/>
              <w:ind w:firstLine="0" w:firstLineChars="0"/>
              <w:jc w:val="center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0-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613" w:type="dxa"/>
            <w:noWrap w:val="0"/>
            <w:vAlign w:val="center"/>
          </w:tcPr>
          <w:p w14:paraId="4F0390CC"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团队律师人员数量满足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询价文件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要求的得1分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；团队律师（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不含项目负责人）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执业年限（截至202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月1日止）达到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以上，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每一位律师得1分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。（本项最高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分）</w:t>
            </w:r>
          </w:p>
          <w:p w14:paraId="3C579C1E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项目负责人执业年限（截至202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月1日止）达到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年（含）以上不满2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年的得1分；达到2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年（含）以上不满3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年的得2分；达到30年（含）以上不满35年的得4分；达到35年（含）以上得6分。（本项最高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分）</w:t>
            </w:r>
          </w:p>
          <w:p w14:paraId="5B2081D1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（需提供相关证明材料并加盖公章，否则不得分。）</w:t>
            </w:r>
          </w:p>
        </w:tc>
      </w:tr>
      <w:tr w14:paraId="7EB7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3F501BE2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800" w:type="dxa"/>
            <w:noWrap w:val="0"/>
            <w:vAlign w:val="center"/>
          </w:tcPr>
          <w:p w14:paraId="04A9B518">
            <w:pPr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0-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</w:t>
            </w:r>
          </w:p>
          <w:p w14:paraId="67F36B56">
            <w:pPr>
              <w:spacing w:line="240" w:lineRule="auto"/>
              <w:ind w:firstLine="0" w:firstLineChars="0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613" w:type="dxa"/>
            <w:noWrap w:val="0"/>
            <w:vAlign w:val="center"/>
          </w:tcPr>
          <w:p w14:paraId="4F454969">
            <w:pPr>
              <w:spacing w:line="240" w:lineRule="auto"/>
              <w:ind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承担过浙江省人民政府国有资产监督管理委员会所属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一级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企业（以下简称“省属企业”）常年法律顾问项目的得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分；承担过省属企业的下属二级企业常年法律顾问项目的，每家企业得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分，最高得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分。（本项最高10分）</w:t>
            </w:r>
          </w:p>
          <w:p w14:paraId="5BD18278">
            <w:pPr>
              <w:spacing w:line="240" w:lineRule="auto"/>
              <w:ind w:firstLine="0" w:firstLineChars="0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2、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承担过高等学校常年法律顾问项目的得3分；其中，承担过教育部直属高校常年法律顾问项目的加3分，其他高校的加1分；承担过高等学校各学院、部门或高校所属事业单位常年法律顾问项目的，每家得1分，最高得4分。（高等学校常年法律顾问项目以高等学校、高等学校校办或高等学校法律办签订合同为准；本项最高10分。）</w:t>
            </w:r>
          </w:p>
          <w:p w14:paraId="6371B97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供应商承担过科创服务、知识产权及科技成果转化、空间运营、产业培育、企业孵化、校企产学研融合、园区运营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知识产权交易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为主业的企业常年法律顾问项目的，每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得2.5分。（最高得10分）</w:t>
            </w:r>
          </w:p>
        </w:tc>
      </w:tr>
      <w:tr w14:paraId="4471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7E99A3C">
            <w:pPr>
              <w:pStyle w:val="5"/>
              <w:widowControl w:val="0"/>
              <w:autoSpaceDE w:val="0"/>
              <w:spacing w:before="0" w:beforeAutospacing="0" w:after="0" w:afterAutospacing="0" w:line="400" w:lineRule="exact"/>
              <w:jc w:val="center"/>
              <w:rPr>
                <w:rFonts w:hint="eastAsia" w:cs="宋体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413" w:type="dxa"/>
            <w:gridSpan w:val="2"/>
            <w:noWrap w:val="0"/>
            <w:vAlign w:val="center"/>
          </w:tcPr>
          <w:p w14:paraId="3325C321">
            <w:pPr>
              <w:pStyle w:val="5"/>
              <w:widowControl w:val="0"/>
              <w:autoSpaceDE w:val="0"/>
              <w:spacing w:before="0" w:beforeAutospacing="0" w:after="0" w:afterAutospacing="0"/>
              <w:jc w:val="both"/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注：</w:t>
            </w:r>
            <w:r>
              <w:rPr>
                <w:rFonts w:hint="eastAsia" w:cs="宋体"/>
                <w:b/>
                <w:i/>
                <w:iCs/>
                <w:sz w:val="21"/>
                <w:szCs w:val="21"/>
                <w:u w:val="single"/>
                <w:lang w:val="en-US" w:eastAsia="zh-CN"/>
              </w:rPr>
              <w:t>要求为近三年团队律师的业绩</w:t>
            </w: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宋体"/>
                <w:b/>
                <w:sz w:val="21"/>
                <w:szCs w:val="21"/>
              </w:rPr>
              <w:t>需提供合同复印件（加盖公章），且不得作任何遮盖、屏蔽、修改，业绩材料需能体现团队律师姓名，否则不得分，原件备查；若同一业绩同时符合上述三类或两类业绩情况的，可以分别计分。</w:t>
            </w:r>
          </w:p>
        </w:tc>
      </w:tr>
      <w:tr w14:paraId="42D9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15" w:type="dxa"/>
            <w:noWrap w:val="0"/>
            <w:vAlign w:val="center"/>
          </w:tcPr>
          <w:p w14:paraId="34C83EB4">
            <w:pPr>
              <w:pStyle w:val="5"/>
              <w:widowControl w:val="0"/>
              <w:autoSpaceDE w:val="0"/>
              <w:spacing w:before="0" w:beforeAutospacing="0" w:after="0" w:afterAutospacing="0" w:line="400" w:lineRule="exact"/>
              <w:jc w:val="center"/>
              <w:rPr>
                <w:rFonts w:hint="eastAsia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2"/>
                <w:sz w:val="21"/>
                <w:szCs w:val="21"/>
              </w:rPr>
              <w:t>总体服务方案</w:t>
            </w:r>
          </w:p>
        </w:tc>
        <w:tc>
          <w:tcPr>
            <w:tcW w:w="800" w:type="dxa"/>
            <w:noWrap w:val="0"/>
            <w:vAlign w:val="center"/>
          </w:tcPr>
          <w:p w14:paraId="25EA98DB">
            <w:pPr>
              <w:spacing w:line="240" w:lineRule="auto"/>
              <w:ind w:firstLine="0" w:firstLineChars="0"/>
              <w:jc w:val="center"/>
              <w:rPr>
                <w:rFonts w:hint="eastAsia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0-1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13" w:type="dxa"/>
            <w:noWrap w:val="0"/>
            <w:vAlign w:val="center"/>
          </w:tcPr>
          <w:p w14:paraId="4F889C82">
            <w:pPr>
              <w:pStyle w:val="5"/>
              <w:widowControl w:val="0"/>
              <w:autoSpaceDE w:val="0"/>
              <w:spacing w:before="0" w:beforeAutospacing="0" w:after="0" w:afterAutospacing="0"/>
              <w:jc w:val="both"/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服务方案内容全面、完整，对项目需求理解到位，总体工作计划、安排设置合理。优秀得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-1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分，较好得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分，一般得0-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cs="宋体"/>
                <w:spacing w:val="-4"/>
                <w:kern w:val="2"/>
                <w:sz w:val="21"/>
                <w:szCs w:val="21"/>
                <w:lang w:bidi="ar"/>
              </w:rPr>
              <w:t>分。</w:t>
            </w:r>
          </w:p>
        </w:tc>
      </w:tr>
    </w:tbl>
    <w:p w14:paraId="5A2C2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4B4B2"/>
    <w:multiLevelType w:val="singleLevel"/>
    <w:tmpl w:val="F8B4B4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EEBA41"/>
    <w:multiLevelType w:val="singleLevel"/>
    <w:tmpl w:val="67EEBA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7FB9"/>
    <w:rsid w:val="405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1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tabs>
        <w:tab w:val="right" w:leader="dot" w:pos="8296"/>
      </w:tabs>
      <w:ind w:left="420" w:leftChars="200" w:firstLine="0" w:firstLineChars="0"/>
    </w:pPr>
    <w:rPr>
      <w:rFonts w:ascii="Times New Roman" w:hAnsi="Times New Roman"/>
    </w:rPr>
  </w:style>
  <w:style w:type="paragraph" w:styleId="5">
    <w:name w:val="Normal (Web)"/>
    <w:basedOn w:val="1"/>
    <w:next w:val="4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2026-03-13T06:25:27Z</dcterms:created>
  <dc:creator>zhang</dc:creator>
  <cp:lastModifiedBy>张兆艳</cp:lastModifiedBy>
  <dcterms:modified xsi:type="dcterms:W3CDTF">2026-03-13T06:28:03Z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eyJoZGlkIjoiMjEzNDJhNDY4YTBkMjdmMjUyYzcwY2M5NTRmOGFlMzMiLCJ1c2VySWQiOiIxNjk3Nzc4MzE0In0=</vt:lpwstr>
  </property>
  <property fmtid="{D5CDD505-2E9C-101B-9397-08002B2CF9AE}" pid="4" name="ICV">
    <vt:lpwstr>44729E09263E4722BCF247530645F818_12</vt:lpwstr>
  </property>
</Properties>
</file>